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5B" w:rsidRPr="008C745B" w:rsidRDefault="008C745B" w:rsidP="008C745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101A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Халтурина Марина Александровна</w:t>
      </w:r>
    </w:p>
    <w:p w:rsidR="008C745B" w:rsidRDefault="008C745B" w:rsidP="008C74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01A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преподаватель</w:t>
      </w:r>
    </w:p>
    <w:p w:rsidR="008C745B" w:rsidRDefault="008C745B" w:rsidP="008C745B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101A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КГА ПОУ «Дальневосточный технический колледж»</w:t>
      </w:r>
    </w:p>
    <w:p w:rsidR="008C745B" w:rsidRPr="00C101A8" w:rsidRDefault="008C745B" w:rsidP="0063743F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Приморский край, г. Уссурийск</w:t>
      </w:r>
    </w:p>
    <w:p w:rsidR="0063743F" w:rsidRDefault="0063743F" w:rsidP="006374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3F5" w:rsidRDefault="009F2B65" w:rsidP="006D71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МЕТОДА ПРОЕКТОВ В ПРОЦЕССЕ ИНТЕГРАЦИИ МАТЕМАТИКИ И ПРАВА СОЦИАЛЬНОГО ОБЕСПЕЧЕНИЯ ПРИ ПОДГОТОВКЕ СТУДЕНТОВ СПЕЦИАЛЬНОСТИ «ПРАВО И ОРГАНИЗАЦИЯ СОЦИАЛЬНОГО ОБЕСПЕЧЕНИЯ»</w:t>
      </w:r>
    </w:p>
    <w:p w:rsidR="0063288C" w:rsidRDefault="0063288C" w:rsidP="006D7165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СПО по специальности 40.02.01 «Право и организация социального обеспечения», утвержденным Приказом Министерства образования и науки от 12.05.2014 № 508, результатом освоения профессионального модуля 01 «Обеспечение реализации прав граждан в сфере пенсионного обеспечения и социальной защиты» является </w:t>
      </w:r>
      <w:proofErr w:type="spellStart"/>
      <w:r w:rsidRPr="008404A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404A1">
        <w:rPr>
          <w:rFonts w:ascii="Times New Roman" w:hAnsi="Times New Roman" w:cs="Times New Roman"/>
          <w:sz w:val="28"/>
          <w:szCs w:val="28"/>
        </w:rPr>
        <w:t xml:space="preserve"> у обучающихся общих и профессиональных компетенций, которые необходимы для будущей профессиональной деятельности. К числу общих компетенций относится компетенция по осуществлению поиска, анализа и оценки информации, необходимой для постановки и решения профессиональных задач, профессионального и личностного развития (ОК 4), а к числу профессиональных компетенций относится компетенция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 (ПК 1.4). Формированию указанных компетенций способствует проектно-исследовательская деятельность обучающихся, осуществляемая в рамках интеграции математики и права социального обеспечения. 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04A1">
        <w:rPr>
          <w:rFonts w:ascii="Times New Roman" w:hAnsi="Times New Roman" w:cs="Times New Roman"/>
          <w:sz w:val="28"/>
          <w:szCs w:val="28"/>
        </w:rPr>
        <w:t xml:space="preserve">Следует отметить, что основным исходным положением, затрагивающим профессиональную направленность курса математики, является прикладная значимость знаний в практической деятельности. Прикладная направленность математических знаний означает осуществление реализации профессиональной подготовки, при этом необходимо систематически использовать </w:t>
      </w:r>
      <w:proofErr w:type="spellStart"/>
      <w:r w:rsidRPr="008404A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8404A1">
        <w:rPr>
          <w:rFonts w:ascii="Times New Roman" w:hAnsi="Times New Roman" w:cs="Times New Roman"/>
          <w:sz w:val="28"/>
          <w:szCs w:val="28"/>
        </w:rPr>
        <w:t xml:space="preserve"> связи, консультироваться с преподавателями специальных дисциплин.</w:t>
      </w:r>
    </w:p>
    <w:p w:rsidR="008404A1" w:rsidRPr="008404A1" w:rsidRDefault="008404A1" w:rsidP="00D90C63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sz w:val="28"/>
          <w:szCs w:val="28"/>
        </w:rPr>
        <w:t xml:space="preserve">Проектная деятельность обучающегося является компонентом проектного обучения, связанного с выявлением и удовлетворением </w:t>
      </w:r>
      <w:proofErr w:type="gramStart"/>
      <w:r w:rsidR="00D90C63" w:rsidRPr="008404A1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="00D90C63">
        <w:rPr>
          <w:rFonts w:ascii="Times New Roman" w:hAnsi="Times New Roman" w:cs="Times New Roman"/>
          <w:sz w:val="28"/>
          <w:szCs w:val="28"/>
        </w:rPr>
        <w:t xml:space="preserve"> </w:t>
      </w:r>
      <w:r w:rsidRPr="008404A1">
        <w:rPr>
          <w:rFonts w:ascii="Times New Roman" w:hAnsi="Times New Roman" w:cs="Times New Roman"/>
          <w:sz w:val="28"/>
          <w:szCs w:val="28"/>
        </w:rPr>
        <w:t xml:space="preserve">обучающихся посредством проектирования и создания продукта, обладающего объективной или субъективной новизной. Она представляет собой творческую работу по решению практической задачи, цели и содержание которой определяются обучающимися и осуществляются </w:t>
      </w:r>
      <w:r w:rsidRPr="008404A1">
        <w:rPr>
          <w:rFonts w:ascii="Times New Roman" w:hAnsi="Times New Roman" w:cs="Times New Roman"/>
          <w:sz w:val="28"/>
          <w:szCs w:val="28"/>
        </w:rPr>
        <w:lastRenderedPageBreak/>
        <w:t>ими в процессе теоретической проработки и практической реализации при участии преподавателя.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sz w:val="28"/>
          <w:szCs w:val="28"/>
        </w:rPr>
        <w:t>Проектная деятельность обучающегося решает ряд важных педагогических задач:</w:t>
      </w:r>
    </w:p>
    <w:p w:rsidR="008404A1" w:rsidRPr="008404A1" w:rsidRDefault="008404A1" w:rsidP="00D90C63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sz w:val="28"/>
          <w:szCs w:val="28"/>
        </w:rPr>
        <w:t>учит применять базовые знания и умения, усвоенные на учебных занятиях, для поиска и решения социальных, семейных, личных проблем;</w:t>
      </w:r>
    </w:p>
    <w:p w:rsidR="008404A1" w:rsidRPr="008404A1" w:rsidRDefault="008404A1" w:rsidP="00D90C63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sz w:val="28"/>
          <w:szCs w:val="28"/>
        </w:rPr>
        <w:t>стимулирует самостоятельную познавательную деятельность обучающихся;</w:t>
      </w:r>
    </w:p>
    <w:p w:rsidR="008404A1" w:rsidRPr="008404A1" w:rsidRDefault="008404A1" w:rsidP="00D90C63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sz w:val="28"/>
          <w:szCs w:val="28"/>
        </w:rPr>
        <w:t>стирает грани между общеобразовательными и специальными дисциплинами, приближает учебный процесс к реальной жизни;</w:t>
      </w:r>
    </w:p>
    <w:p w:rsidR="008404A1" w:rsidRPr="008404A1" w:rsidRDefault="008404A1" w:rsidP="00D90C63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sz w:val="28"/>
          <w:szCs w:val="28"/>
        </w:rPr>
        <w:t>привлекает обучающихся к социальной деятельности, которая обеспечивает формирование различных качеств, профессиональных интересов.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4A1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В современной образовательной системе обучение больше не рассматривается как простая трансляция знаний от педагога к учащимся. Обучение больше выступает как сотрудничество – совместная работа преподавателя и студента в ходе овладения обучающимися знаниями и приобретения опыта решения проблем.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sz w:val="28"/>
          <w:szCs w:val="28"/>
        </w:rPr>
        <w:t xml:space="preserve">Проектная деятельность обучающихся, осуществляемая под руководством преподавателей разных дисциплин, и связанная с реальной жизнью, направлена на реализацию </w:t>
      </w:r>
      <w:proofErr w:type="spellStart"/>
      <w:r w:rsidRPr="008404A1"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Pr="008404A1">
        <w:rPr>
          <w:rFonts w:ascii="Times New Roman" w:hAnsi="Times New Roman" w:cs="Times New Roman"/>
          <w:sz w:val="28"/>
          <w:szCs w:val="28"/>
        </w:rPr>
        <w:t xml:space="preserve"> подхода к обучению в среднем профессиональном образовании, способствует повышению мотивации и интереса студентов к профессиональному обучению.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sz w:val="28"/>
          <w:szCs w:val="28"/>
        </w:rPr>
        <w:t>Таким образом, организация проектной деятельности обучающихся является важным этапом обучения и формирования у них профессиональных компетенций. Интеграция предметов в рамках проектно-исследовательской деятельности служит достижению этих целей.</w:t>
      </w:r>
    </w:p>
    <w:p w:rsidR="008404A1" w:rsidRPr="008404A1" w:rsidRDefault="008404A1" w:rsidP="00D90C63">
      <w:pPr>
        <w:pStyle w:val="a7"/>
        <w:spacing w:before="0" w:beforeAutospacing="0" w:after="0" w:afterAutospacing="0"/>
        <w:ind w:firstLine="708"/>
        <w:jc w:val="both"/>
        <w:rPr>
          <w:rStyle w:val="aa"/>
          <w:i w:val="0"/>
          <w:color w:val="000000"/>
          <w:sz w:val="28"/>
          <w:szCs w:val="28"/>
        </w:rPr>
      </w:pPr>
      <w:r w:rsidRPr="008404A1">
        <w:rPr>
          <w:rStyle w:val="aa"/>
          <w:i w:val="0"/>
          <w:color w:val="000000"/>
          <w:sz w:val="28"/>
          <w:szCs w:val="28"/>
        </w:rPr>
        <w:t>Проектная деятельность основывается на сотрудничестве педагога и студента. Реализация проекта всегда ведет к изменению ролевой функции педагога. Из носителя готовых знаний он превращается в организатора познавательной, исследовательской деятельности обучающихся. В этом случае задача педагога состоит в том, чтобы грамотно сориентировать обучающихся на разнообразные виды самостоятельной работы, разные варианты деятельности исследовательского, поискового, творческого характера.</w:t>
      </w:r>
    </w:p>
    <w:p w:rsidR="008404A1" w:rsidRPr="00D90C63" w:rsidRDefault="008404A1" w:rsidP="00D90C63">
      <w:pPr>
        <w:pStyle w:val="a7"/>
        <w:spacing w:before="0" w:beforeAutospacing="0" w:after="0" w:afterAutospacing="0"/>
        <w:ind w:firstLine="708"/>
        <w:jc w:val="both"/>
        <w:rPr>
          <w:rStyle w:val="aa"/>
          <w:i w:val="0"/>
          <w:color w:val="000000"/>
          <w:sz w:val="28"/>
          <w:szCs w:val="28"/>
        </w:rPr>
      </w:pPr>
      <w:r w:rsidRPr="008404A1">
        <w:rPr>
          <w:rStyle w:val="aa"/>
          <w:i w:val="0"/>
          <w:color w:val="000000"/>
          <w:sz w:val="28"/>
          <w:szCs w:val="28"/>
        </w:rPr>
        <w:t xml:space="preserve"> Начинать проект следует с выбора и формулирования его темы, ориентировки на тип проекта и количество участников с учетом их возраста и индивидуальных особенностей. </w:t>
      </w:r>
      <w:r w:rsidR="00D90C63">
        <w:rPr>
          <w:rStyle w:val="aa"/>
          <w:i w:val="0"/>
          <w:color w:val="000000"/>
          <w:sz w:val="28"/>
          <w:szCs w:val="28"/>
        </w:rPr>
        <w:t>В процессе интеграции математики и права социального обеспечения на практике</w:t>
      </w:r>
      <w:r w:rsidRPr="008404A1">
        <w:rPr>
          <w:rStyle w:val="aa"/>
          <w:i w:val="0"/>
          <w:color w:val="000000"/>
          <w:sz w:val="28"/>
          <w:szCs w:val="28"/>
        </w:rPr>
        <w:t xml:space="preserve"> была выбрана тема </w:t>
      </w:r>
      <w:r w:rsidRPr="008404A1">
        <w:rPr>
          <w:sz w:val="28"/>
          <w:szCs w:val="28"/>
        </w:rPr>
        <w:t xml:space="preserve">«Применение процентов при расчетах в профессии юриста в сфере социального обеспечения», поскольку многие расчеты в сфере социального обеспечения основаны на математических знаниях о процентах и их исчислении. Для работы над проектом были привлечены студенты второго курса в количестве пяти человек, поскольку именно в этот период обучения происходит </w:t>
      </w:r>
      <w:r w:rsidRPr="008404A1">
        <w:rPr>
          <w:sz w:val="28"/>
          <w:szCs w:val="28"/>
        </w:rPr>
        <w:lastRenderedPageBreak/>
        <w:t xml:space="preserve">ознакомление с математическими знаниями и основными аспектами права </w:t>
      </w:r>
      <w:r w:rsidRPr="00D90C63">
        <w:rPr>
          <w:sz w:val="28"/>
          <w:szCs w:val="28"/>
        </w:rPr>
        <w:t>социального обеспечения.</w:t>
      </w:r>
    </w:p>
    <w:p w:rsidR="008404A1" w:rsidRPr="00D90C63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C63">
        <w:rPr>
          <w:rFonts w:ascii="Times New Roman" w:hAnsi="Times New Roman" w:cs="Times New Roman"/>
          <w:sz w:val="28"/>
          <w:szCs w:val="28"/>
        </w:rPr>
        <w:t>Работа над проектом состояла из ряда последовательных этапов, в процессе которых достигалась общая цель проекта.</w:t>
      </w:r>
    </w:p>
    <w:p w:rsidR="008404A1" w:rsidRPr="00D90C63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C63">
        <w:rPr>
          <w:rFonts w:ascii="Times New Roman" w:hAnsi="Times New Roman" w:cs="Times New Roman"/>
          <w:sz w:val="28"/>
          <w:szCs w:val="28"/>
          <w:u w:val="single"/>
        </w:rPr>
        <w:t>1-й этап.</w:t>
      </w:r>
      <w:r w:rsidRPr="00D90C63">
        <w:rPr>
          <w:rFonts w:ascii="Times New Roman" w:hAnsi="Times New Roman" w:cs="Times New Roman"/>
          <w:sz w:val="28"/>
          <w:szCs w:val="28"/>
        </w:rPr>
        <w:t xml:space="preserve"> </w:t>
      </w:r>
      <w:r w:rsidRPr="00D90C63">
        <w:rPr>
          <w:rFonts w:ascii="Times New Roman" w:hAnsi="Times New Roman" w:cs="Times New Roman"/>
          <w:bCs/>
          <w:sz w:val="28"/>
          <w:szCs w:val="28"/>
        </w:rPr>
        <w:t>Определение проблемы, обсуждение гипотезы, постановка цели и задач проекта, объекта, предмета и методов исследования, уточнение плана исследовательской деятельности.</w:t>
      </w:r>
    </w:p>
    <w:p w:rsidR="008404A1" w:rsidRPr="00D90C63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C63">
        <w:rPr>
          <w:rFonts w:ascii="Times New Roman" w:hAnsi="Times New Roman" w:cs="Times New Roman"/>
          <w:bCs/>
          <w:sz w:val="28"/>
          <w:szCs w:val="28"/>
        </w:rPr>
        <w:t xml:space="preserve">На данном этапе, прежде всего, была определена </w:t>
      </w:r>
      <w:r w:rsidRPr="00D90C63">
        <w:rPr>
          <w:rFonts w:ascii="Times New Roman" w:hAnsi="Times New Roman" w:cs="Times New Roman"/>
          <w:bCs/>
          <w:sz w:val="28"/>
          <w:szCs w:val="28"/>
          <w:u w:val="single"/>
        </w:rPr>
        <w:t>проблема</w:t>
      </w:r>
      <w:r w:rsidRPr="00D90C63">
        <w:rPr>
          <w:rFonts w:ascii="Times New Roman" w:hAnsi="Times New Roman" w:cs="Times New Roman"/>
          <w:bCs/>
          <w:sz w:val="28"/>
          <w:szCs w:val="28"/>
        </w:rPr>
        <w:t>: для чего юристу в сфере социального обеспечения необходимо знать вопросы применения процентных величин и уметь применять эти знания на практике? В современных условиях данная проблема является весьма актуальной, поскольку студенты, обучающиеся по специальности 40.02.01 «Право социального обеспечения» нередко задают вопрос: зачем им нужны математические знания? Работа над проектом отчасти дает ответ на этот вопрос.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sz w:val="28"/>
          <w:szCs w:val="28"/>
        </w:rPr>
        <w:t>Работая над проектом, мы предположили, что п</w:t>
      </w:r>
      <w:r w:rsidRPr="008404A1">
        <w:rPr>
          <w:rFonts w:ascii="Times New Roman" w:hAnsi="Times New Roman" w:cs="Times New Roman"/>
          <w:bCs/>
          <w:sz w:val="28"/>
          <w:szCs w:val="28"/>
        </w:rPr>
        <w:t>роцентные величины в сфере социального обеспечения могут применяться для расчетов некоторых видов социального обеспечения (</w:t>
      </w:r>
      <w:r w:rsidRPr="008404A1">
        <w:rPr>
          <w:rFonts w:ascii="Times New Roman" w:hAnsi="Times New Roman" w:cs="Times New Roman"/>
          <w:bCs/>
          <w:sz w:val="28"/>
          <w:szCs w:val="28"/>
          <w:u w:val="single"/>
        </w:rPr>
        <w:t>гипотеза</w:t>
      </w:r>
      <w:r w:rsidRPr="008404A1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sz w:val="28"/>
          <w:szCs w:val="28"/>
        </w:rPr>
        <w:t xml:space="preserve">В данном аспекте </w:t>
      </w:r>
      <w:r w:rsidRPr="008404A1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 w:rsidRPr="008404A1">
        <w:rPr>
          <w:rFonts w:ascii="Times New Roman" w:hAnsi="Times New Roman" w:cs="Times New Roman"/>
          <w:sz w:val="28"/>
          <w:szCs w:val="28"/>
        </w:rPr>
        <w:t xml:space="preserve"> заключалась в том, чтобы и</w:t>
      </w:r>
      <w:r w:rsidRPr="008404A1">
        <w:rPr>
          <w:rFonts w:ascii="Times New Roman" w:hAnsi="Times New Roman" w:cs="Times New Roman"/>
          <w:bCs/>
          <w:sz w:val="28"/>
          <w:szCs w:val="28"/>
        </w:rPr>
        <w:t>сследовать применение процентов при расчетах размеров различных видов социального обеспечения.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sz w:val="28"/>
          <w:szCs w:val="28"/>
        </w:rPr>
        <w:t xml:space="preserve">В процессе работы над проектом «Применение процентов при расчетах в профессии юриста в сфере социального обеспечения» были сформулированы следующие </w:t>
      </w:r>
      <w:r w:rsidRPr="008404A1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8404A1">
        <w:rPr>
          <w:rFonts w:ascii="Times New Roman" w:hAnsi="Times New Roman" w:cs="Times New Roman"/>
          <w:sz w:val="28"/>
          <w:szCs w:val="28"/>
        </w:rPr>
        <w:t>: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- определить, какой теоретический, нормативный и фактический материал будет применяться для исследования и проектирования, определить сроки работы;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- изучить теоретический материал по вопросам применения процентов в сфере социального обеспечения;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- проанализировать положения нормативно-правовых актов, регламентирующих расчет различных видов социального обеспечения с применением процентов;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- в рамках экспериментальной части исследования применить полученные знания на практике с учетом конкретных жизненных ситуаций;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-  оформить результаты проведенного исследования;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-  проанализировать результаты проделанной работы.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данном случае </w:t>
      </w:r>
      <w:r w:rsidRPr="008404A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объектом исследования</w:t>
      </w:r>
      <w:r w:rsidRPr="00840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явились в</w:t>
      </w:r>
      <w:r w:rsidRPr="008404A1">
        <w:rPr>
          <w:rFonts w:ascii="Times New Roman" w:hAnsi="Times New Roman" w:cs="Times New Roman"/>
          <w:bCs/>
          <w:sz w:val="28"/>
          <w:szCs w:val="28"/>
        </w:rPr>
        <w:t>опросы применения процентов при расчетах размеров различных видов социального обеспечения.</w:t>
      </w:r>
    </w:p>
    <w:p w:rsidR="008404A1" w:rsidRPr="008404A1" w:rsidRDefault="008404A1" w:rsidP="00D90C6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sz w:val="28"/>
          <w:szCs w:val="28"/>
          <w:u w:val="single"/>
        </w:rPr>
        <w:t>Предметом исследования</w:t>
      </w:r>
      <w:r w:rsidRPr="008404A1">
        <w:rPr>
          <w:rFonts w:ascii="Times New Roman" w:hAnsi="Times New Roman" w:cs="Times New Roman"/>
          <w:sz w:val="28"/>
          <w:szCs w:val="28"/>
        </w:rPr>
        <w:t xml:space="preserve"> выступили:</w:t>
      </w:r>
    </w:p>
    <w:p w:rsidR="008404A1" w:rsidRPr="008404A1" w:rsidRDefault="008404A1" w:rsidP="00D90C6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специальная литература;</w:t>
      </w:r>
    </w:p>
    <w:p w:rsidR="008404A1" w:rsidRPr="008404A1" w:rsidRDefault="008404A1" w:rsidP="00D90C6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нормативно-правовые акты;</w:t>
      </w:r>
    </w:p>
    <w:p w:rsidR="008404A1" w:rsidRPr="008404A1" w:rsidRDefault="008404A1" w:rsidP="00D90C6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практика назначения различных видов социального обеспечения учреждениями пенсионного фонда, социальной защиты, бухгалтерией организации.</w:t>
      </w:r>
    </w:p>
    <w:p w:rsidR="008404A1" w:rsidRPr="008404A1" w:rsidRDefault="008404A1" w:rsidP="00D90C6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sz w:val="28"/>
          <w:szCs w:val="28"/>
        </w:rPr>
        <w:lastRenderedPageBreak/>
        <w:t>В процессе работы над проектом применялись такие методы, как:</w:t>
      </w:r>
    </w:p>
    <w:p w:rsidR="008404A1" w:rsidRPr="008404A1" w:rsidRDefault="008404A1" w:rsidP="00D90C6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анализ специальной литературы по теме исследования;</w:t>
      </w:r>
    </w:p>
    <w:p w:rsidR="008404A1" w:rsidRPr="008404A1" w:rsidRDefault="008404A1" w:rsidP="00D90C6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анализ нормативно-правовых актов;</w:t>
      </w:r>
    </w:p>
    <w:p w:rsidR="008404A1" w:rsidRPr="008404A1" w:rsidRDefault="008404A1" w:rsidP="00D90C6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анализ практической деятельности ПФР, отдела социальной защиты населения и бухгалтерии колледжа по расчетам различных видов социального обеспечения с применением процентов.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sz w:val="28"/>
          <w:szCs w:val="28"/>
        </w:rPr>
        <w:t>Также на данном этапе был уточнен план исследовательской деятельности в процессе работы над проектом.</w:t>
      </w:r>
    </w:p>
    <w:p w:rsidR="008404A1" w:rsidRPr="00D90C63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C63">
        <w:rPr>
          <w:rFonts w:ascii="Times New Roman" w:hAnsi="Times New Roman" w:cs="Times New Roman"/>
          <w:bCs/>
          <w:sz w:val="28"/>
          <w:szCs w:val="28"/>
          <w:u w:val="single"/>
        </w:rPr>
        <w:t>2-й этап.</w:t>
      </w:r>
      <w:r w:rsidR="00D90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0C63">
        <w:rPr>
          <w:rFonts w:ascii="Times New Roman" w:hAnsi="Times New Roman" w:cs="Times New Roman"/>
          <w:bCs/>
          <w:sz w:val="28"/>
          <w:szCs w:val="28"/>
        </w:rPr>
        <w:t xml:space="preserve">Изучение специальной литературы и нормативно-правовых актов. 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Содержание этапа состояло</w:t>
      </w:r>
      <w:r w:rsidRPr="008404A1">
        <w:rPr>
          <w:rFonts w:ascii="Times New Roman" w:hAnsi="Times New Roman" w:cs="Times New Roman"/>
          <w:sz w:val="28"/>
          <w:szCs w:val="28"/>
        </w:rPr>
        <w:t>, прежде всего, в установлении круга литературных и официально-документальных источников, относящихся к теме исследования. Для поиска нормативных источников использова</w:t>
      </w:r>
      <w:r w:rsidR="00D90C63">
        <w:rPr>
          <w:rFonts w:ascii="Times New Roman" w:hAnsi="Times New Roman" w:cs="Times New Roman"/>
          <w:sz w:val="28"/>
          <w:szCs w:val="28"/>
        </w:rPr>
        <w:t>лись</w:t>
      </w:r>
      <w:r w:rsidRPr="008404A1">
        <w:rPr>
          <w:rFonts w:ascii="Times New Roman" w:hAnsi="Times New Roman" w:cs="Times New Roman"/>
          <w:sz w:val="28"/>
          <w:szCs w:val="28"/>
        </w:rPr>
        <w:t xml:space="preserve"> справочные правовые системы: «Консультант Плюс», «Гарант» и др. Также </w:t>
      </w:r>
      <w:r w:rsidR="001B6C61">
        <w:rPr>
          <w:rFonts w:ascii="Times New Roman" w:hAnsi="Times New Roman" w:cs="Times New Roman"/>
          <w:sz w:val="28"/>
          <w:szCs w:val="28"/>
        </w:rPr>
        <w:t xml:space="preserve">осуществлялось обращение </w:t>
      </w:r>
      <w:r w:rsidRPr="008404A1">
        <w:rPr>
          <w:rFonts w:ascii="Times New Roman" w:hAnsi="Times New Roman" w:cs="Times New Roman"/>
          <w:sz w:val="28"/>
          <w:szCs w:val="28"/>
        </w:rPr>
        <w:t>к данным официальных сайтов органов социального обеспечения: Пенсионного фонда РФ, Департамента труда и социального развития Приморского края и др.</w:t>
      </w:r>
      <w:r w:rsidR="00B50469">
        <w:rPr>
          <w:rFonts w:ascii="Times New Roman" w:hAnsi="Times New Roman" w:cs="Times New Roman"/>
          <w:sz w:val="28"/>
          <w:szCs w:val="28"/>
        </w:rPr>
        <w:t xml:space="preserve"> Была изучена учебная и специальная литература, статьи из периодических печатных изданий.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 xml:space="preserve">В результате проведенного исследования было установлено, что при осуществлении профессиональной деятельности </w:t>
      </w:r>
      <w:r w:rsidRPr="008404A1">
        <w:rPr>
          <w:rFonts w:ascii="Times New Roman" w:hAnsi="Times New Roman" w:cs="Times New Roman"/>
          <w:bCs/>
          <w:iCs/>
          <w:sz w:val="28"/>
          <w:szCs w:val="28"/>
        </w:rPr>
        <w:t>юрист</w:t>
      </w: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использует математические познания, так как ему часто приходится осуществлять расчеты (пенсий, пособий, субсидий и др.), применять логическое мышление. Некоторые математические расчеты основаны на применении процентов при исчислении размеров видов социального обеспечения.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sz w:val="28"/>
          <w:szCs w:val="28"/>
        </w:rPr>
        <w:t>После изучения общих вопросов применения процентов в профессии юриста, дальнейшая исследовательская деятельность осуществлялась по пяти направлениям, в каждом из которых принимал участие один обучающийся.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sz w:val="28"/>
          <w:szCs w:val="28"/>
        </w:rPr>
        <w:t xml:space="preserve">Были определены следующие </w:t>
      </w:r>
      <w:r w:rsidRPr="008404A1">
        <w:rPr>
          <w:rFonts w:ascii="Times New Roman" w:hAnsi="Times New Roman" w:cs="Times New Roman"/>
          <w:sz w:val="28"/>
          <w:szCs w:val="28"/>
          <w:u w:val="single"/>
        </w:rPr>
        <w:t>направления исследования</w:t>
      </w:r>
      <w:r w:rsidRPr="008404A1">
        <w:rPr>
          <w:rFonts w:ascii="Times New Roman" w:hAnsi="Times New Roman" w:cs="Times New Roman"/>
          <w:sz w:val="28"/>
          <w:szCs w:val="28"/>
        </w:rPr>
        <w:t>: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sz w:val="28"/>
          <w:szCs w:val="28"/>
        </w:rPr>
        <w:t xml:space="preserve">1. </w:t>
      </w:r>
      <w:r w:rsidRPr="008404A1">
        <w:rPr>
          <w:rFonts w:ascii="Times New Roman" w:hAnsi="Times New Roman" w:cs="Times New Roman"/>
          <w:bCs/>
          <w:sz w:val="28"/>
          <w:szCs w:val="28"/>
        </w:rPr>
        <w:t>Применение процентов при исчислении государственных пенсий по старости.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2. Применение процентов при исчислении государственных пенсий по инвалидности.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3. Применение процентов при исчислении государственных пенсий по случаю потери кормильца.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4. Применение процентов при исчислении пособия по временной нетрудоспособности.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5. Применение процентов при исчислении субсидий на оплату за жилищно-коммунальные услуги.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8C1">
        <w:rPr>
          <w:rFonts w:ascii="Times New Roman" w:hAnsi="Times New Roman" w:cs="Times New Roman"/>
          <w:bCs/>
          <w:sz w:val="28"/>
          <w:szCs w:val="28"/>
          <w:u w:val="single"/>
        </w:rPr>
        <w:t>3-й этап.</w:t>
      </w:r>
      <w:r w:rsidRPr="006E5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58C1">
        <w:rPr>
          <w:rFonts w:ascii="Times New Roman" w:hAnsi="Times New Roman" w:cs="Times New Roman"/>
          <w:bCs/>
          <w:sz w:val="28"/>
          <w:szCs w:val="28"/>
        </w:rPr>
        <w:t>Включал консультирование</w:t>
      </w:r>
      <w:r w:rsidRPr="006E58C1">
        <w:rPr>
          <w:rFonts w:ascii="Times New Roman" w:hAnsi="Times New Roman" w:cs="Times New Roman"/>
          <w:bCs/>
          <w:sz w:val="28"/>
          <w:szCs w:val="28"/>
        </w:rPr>
        <w:t xml:space="preserve"> с практическими работниками пенсионного фонда,</w:t>
      </w: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отдела социальной защиты населения и бухгалтерии колледжа о том, как часто они сталкиваются с процентами при расчетах.</w:t>
      </w:r>
      <w:r w:rsidR="005551DD">
        <w:rPr>
          <w:rFonts w:ascii="Times New Roman" w:hAnsi="Times New Roman" w:cs="Times New Roman"/>
          <w:bCs/>
          <w:sz w:val="28"/>
          <w:szCs w:val="28"/>
        </w:rPr>
        <w:t xml:space="preserve"> Такое консультирование показало, что в</w:t>
      </w: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процессе осуществления работы над проектом целесообразно взаимодействие с практическими работниками, что служит реализации </w:t>
      </w:r>
      <w:proofErr w:type="spellStart"/>
      <w:r w:rsidRPr="008404A1">
        <w:rPr>
          <w:rFonts w:ascii="Times New Roman" w:hAnsi="Times New Roman" w:cs="Times New Roman"/>
          <w:bCs/>
          <w:sz w:val="28"/>
          <w:szCs w:val="28"/>
        </w:rPr>
        <w:t>прктикоориентированного</w:t>
      </w:r>
      <w:proofErr w:type="spellEnd"/>
      <w:r w:rsidRPr="008404A1">
        <w:rPr>
          <w:rFonts w:ascii="Times New Roman" w:hAnsi="Times New Roman" w:cs="Times New Roman"/>
          <w:bCs/>
          <w:sz w:val="28"/>
          <w:szCs w:val="28"/>
        </w:rPr>
        <w:t xml:space="preserve"> подхода в обучении. 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lastRenderedPageBreak/>
        <w:t>С целью осуществления исследовательской деятельности по каждому из вышеуказанных направлений участники проекта взаимодействовали с практическими работниками, которые непосредственно сталкиваются в своей деятельности с определением размеров тех или иных видов социального обеспечения. Для этого обучающиеся посетили: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1) ГУ – Управление Пенсионного фонда РФ по Уссурийскому городскому округу, где проконсультировались по вопросам определения размеров государственных пенсий по старости, по инвалидности и по случаю потери кормильца;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2) Отдел по Уссурийскому городскому округу Департамента труда и социального развития Приморского края, где была получена информация по вопросам исчисления размеров субсидий на оплату за жилищно-коммунальные услуги;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3) бухгалтерию КГА ПОУ «Дальневосточный технический колледж», где были разъяснены правила исчисления пособия по временной нетрудоспособности.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Полученные результаты были применены при осуществлении расчетов различных видов социального обеспечения с применением процентов.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D">
        <w:rPr>
          <w:rFonts w:ascii="Times New Roman" w:hAnsi="Times New Roman" w:cs="Times New Roman"/>
          <w:bCs/>
          <w:sz w:val="28"/>
          <w:szCs w:val="28"/>
          <w:u w:val="single"/>
        </w:rPr>
        <w:t>4-й этап.</w:t>
      </w:r>
      <w:r w:rsidRPr="005551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51DD">
        <w:rPr>
          <w:rFonts w:ascii="Times New Roman" w:hAnsi="Times New Roman" w:cs="Times New Roman"/>
          <w:bCs/>
          <w:sz w:val="28"/>
          <w:szCs w:val="28"/>
        </w:rPr>
        <w:t>Включал непосредственно р</w:t>
      </w:r>
      <w:r w:rsidRPr="005551DD">
        <w:rPr>
          <w:rFonts w:ascii="Times New Roman" w:hAnsi="Times New Roman" w:cs="Times New Roman"/>
          <w:bCs/>
          <w:sz w:val="28"/>
          <w:szCs w:val="28"/>
        </w:rPr>
        <w:t>абот</w:t>
      </w:r>
      <w:r w:rsidR="005551DD">
        <w:rPr>
          <w:rFonts w:ascii="Times New Roman" w:hAnsi="Times New Roman" w:cs="Times New Roman"/>
          <w:bCs/>
          <w:sz w:val="28"/>
          <w:szCs w:val="28"/>
        </w:rPr>
        <w:t>у</w:t>
      </w:r>
      <w:r w:rsidRPr="005551DD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5551DD">
        <w:rPr>
          <w:rFonts w:ascii="Times New Roman" w:hAnsi="Times New Roman" w:cs="Times New Roman"/>
          <w:bCs/>
          <w:sz w:val="28"/>
          <w:szCs w:val="28"/>
        </w:rPr>
        <w:t xml:space="preserve">полученной </w:t>
      </w:r>
      <w:r w:rsidRPr="005551DD">
        <w:rPr>
          <w:rFonts w:ascii="Times New Roman" w:hAnsi="Times New Roman" w:cs="Times New Roman"/>
          <w:bCs/>
          <w:sz w:val="28"/>
          <w:szCs w:val="28"/>
        </w:rPr>
        <w:t xml:space="preserve">информацией, </w:t>
      </w:r>
      <w:r w:rsidR="005551DD">
        <w:rPr>
          <w:rFonts w:ascii="Times New Roman" w:hAnsi="Times New Roman" w:cs="Times New Roman"/>
          <w:bCs/>
          <w:sz w:val="28"/>
          <w:szCs w:val="28"/>
        </w:rPr>
        <w:t>ее анализ и систематизацию</w:t>
      </w:r>
      <w:r w:rsidRPr="005551DD">
        <w:rPr>
          <w:rFonts w:ascii="Times New Roman" w:hAnsi="Times New Roman" w:cs="Times New Roman"/>
          <w:bCs/>
          <w:sz w:val="28"/>
          <w:szCs w:val="28"/>
        </w:rPr>
        <w:t>.</w:t>
      </w:r>
      <w:r w:rsidR="005551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4A1">
        <w:rPr>
          <w:rFonts w:ascii="Times New Roman" w:hAnsi="Times New Roman" w:cs="Times New Roman"/>
          <w:bCs/>
          <w:sz w:val="28"/>
          <w:szCs w:val="28"/>
        </w:rPr>
        <w:t>На данном этапе каждый из участников проектной исследовательской деятельности в соответствии с выбранным им направлением исследования определил теоретические и нормативные аспекты своего направления.</w:t>
      </w:r>
    </w:p>
    <w:p w:rsidR="008404A1" w:rsidRPr="008404A1" w:rsidRDefault="005551DD" w:rsidP="005551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D">
        <w:rPr>
          <w:rFonts w:ascii="Times New Roman" w:hAnsi="Times New Roman" w:cs="Times New Roman"/>
          <w:bCs/>
          <w:sz w:val="28"/>
          <w:szCs w:val="28"/>
        </w:rPr>
        <w:t xml:space="preserve">Так, например, при исследовании вопросов применения процентов </w:t>
      </w:r>
      <w:r w:rsidR="008404A1" w:rsidRPr="005551DD">
        <w:rPr>
          <w:rFonts w:ascii="Times New Roman" w:hAnsi="Times New Roman" w:cs="Times New Roman"/>
          <w:bCs/>
          <w:sz w:val="28"/>
          <w:szCs w:val="28"/>
        </w:rPr>
        <w:t>при исчислении государственных пенсий по инвалидности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было установлено, </w:t>
      </w:r>
      <w:r w:rsidR="00D0222B">
        <w:rPr>
          <w:rFonts w:ascii="Times New Roman" w:hAnsi="Times New Roman" w:cs="Times New Roman"/>
          <w:bCs/>
          <w:sz w:val="28"/>
          <w:szCs w:val="28"/>
        </w:rPr>
        <w:t>что государственная</w:t>
      </w:r>
      <w:r w:rsidR="008404A1" w:rsidRPr="008404A1">
        <w:rPr>
          <w:rFonts w:ascii="Times New Roman" w:hAnsi="Times New Roman" w:cs="Times New Roman"/>
          <w:bCs/>
          <w:sz w:val="28"/>
          <w:szCs w:val="28"/>
        </w:rPr>
        <w:t xml:space="preserve"> пенсия по инвалидности </w:t>
      </w:r>
      <w:r>
        <w:rPr>
          <w:rFonts w:ascii="Times New Roman" w:hAnsi="Times New Roman" w:cs="Times New Roman"/>
          <w:bCs/>
          <w:sz w:val="28"/>
          <w:szCs w:val="28"/>
        </w:rPr>
        <w:t>представляет собой</w:t>
      </w:r>
      <w:r w:rsidR="008404A1" w:rsidRPr="008404A1">
        <w:rPr>
          <w:rFonts w:ascii="Times New Roman" w:hAnsi="Times New Roman" w:cs="Times New Roman"/>
          <w:bCs/>
          <w:sz w:val="28"/>
          <w:szCs w:val="28"/>
        </w:rPr>
        <w:t xml:space="preserve"> ежемесячн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="008404A1" w:rsidRPr="008404A1">
        <w:rPr>
          <w:rFonts w:ascii="Times New Roman" w:hAnsi="Times New Roman" w:cs="Times New Roman"/>
          <w:bCs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="008404A1" w:rsidRPr="008404A1">
        <w:rPr>
          <w:rFonts w:ascii="Times New Roman" w:hAnsi="Times New Roman" w:cs="Times New Roman"/>
          <w:bCs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="008404A1" w:rsidRPr="008404A1">
        <w:rPr>
          <w:rFonts w:ascii="Times New Roman" w:hAnsi="Times New Roman" w:cs="Times New Roman"/>
          <w:bCs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8404A1" w:rsidRPr="008404A1">
        <w:rPr>
          <w:rFonts w:ascii="Times New Roman" w:hAnsi="Times New Roman" w:cs="Times New Roman"/>
          <w:bCs/>
          <w:sz w:val="28"/>
          <w:szCs w:val="28"/>
        </w:rPr>
        <w:t>, которая предоставляется определенным категориям граждан, указанным в законе, в случае наступления инвалидности.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Право на государственную пенсию по инвалидности в соответствии с Федеральным законом от 15 декабря 2001 г. № 166-ФЗ «О государственном пенсионном обеспечении в Российской Федерации» предоставлено: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- военнослужащим по призыву;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- участникам Великой Отечественной войны;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- гражданам, награжденным знаком «Жителю блокадного Ленинграда»;</w:t>
      </w:r>
    </w:p>
    <w:p w:rsidR="008404A1" w:rsidRPr="008404A1" w:rsidRDefault="008404A1" w:rsidP="00D90C6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- гражданам, пострадавшим в результате радиационных или техногенных катастроф;</w:t>
      </w:r>
    </w:p>
    <w:p w:rsidR="008404A1" w:rsidRPr="008404A1" w:rsidRDefault="008404A1" w:rsidP="00D90C6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- гражданам из числа космонавтов.</w:t>
      </w:r>
    </w:p>
    <w:p w:rsidR="008404A1" w:rsidRPr="008404A1" w:rsidRDefault="008404A1" w:rsidP="00D90C6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Правовую основу назначения государственных пенсий по инвалидности составляют:</w:t>
      </w:r>
    </w:p>
    <w:p w:rsidR="008404A1" w:rsidRPr="008404A1" w:rsidRDefault="008404A1" w:rsidP="00D90C6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Федеральный закон от 15.12.2001 г. № 166-ФЗ «О государственном пенсионном обеспечении в Российской Федерации» (основной нормативный акт);</w:t>
      </w:r>
    </w:p>
    <w:p w:rsidR="008404A1" w:rsidRPr="008404A1" w:rsidRDefault="008404A1" w:rsidP="00D90C6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 xml:space="preserve">Закон РФ от 12.02.1993 г. № 4468-1 «О пенсионном обеспечении лиц, проходивших военную службу, службу в органах внутренних дел, </w:t>
      </w:r>
      <w:r w:rsidRPr="008404A1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Федерации, и их семей».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BF2">
        <w:rPr>
          <w:rFonts w:ascii="Times New Roman" w:hAnsi="Times New Roman" w:cs="Times New Roman"/>
          <w:bCs/>
          <w:sz w:val="28"/>
          <w:szCs w:val="28"/>
          <w:u w:val="single"/>
        </w:rPr>
        <w:t>5-й этап.</w:t>
      </w: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BF2">
        <w:rPr>
          <w:rFonts w:ascii="Times New Roman" w:hAnsi="Times New Roman" w:cs="Times New Roman"/>
          <w:bCs/>
          <w:sz w:val="28"/>
          <w:szCs w:val="28"/>
        </w:rPr>
        <w:t>Включал р</w:t>
      </w:r>
      <w:r w:rsidRPr="008404A1">
        <w:rPr>
          <w:rFonts w:ascii="Times New Roman" w:hAnsi="Times New Roman" w:cs="Times New Roman"/>
          <w:bCs/>
          <w:sz w:val="28"/>
          <w:szCs w:val="28"/>
        </w:rPr>
        <w:t>ешение практических ситуаций на расчет пенсий, субсидий на оплату за жилищно-коммунальные услуги и пособий по временной нетрудоспособности.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 xml:space="preserve">По каждому из направлений исследования участники проекта осуществили расчеты определенных видов социального обеспечения с применением процентов. </w:t>
      </w:r>
    </w:p>
    <w:p w:rsidR="008404A1" w:rsidRPr="00310BF2" w:rsidRDefault="00310BF2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BF2">
        <w:rPr>
          <w:rFonts w:ascii="Times New Roman" w:hAnsi="Times New Roman" w:cs="Times New Roman"/>
          <w:sz w:val="28"/>
          <w:szCs w:val="28"/>
        </w:rPr>
        <w:t>Так, например, по вышеуказанному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были решены следующие практические ситуации:</w:t>
      </w:r>
    </w:p>
    <w:p w:rsidR="008404A1" w:rsidRPr="008404A1" w:rsidRDefault="008404A1" w:rsidP="00D90C6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1) Гражданин Сергеев стал инвалидом второй группы вследствие военной травмы, полученной во время прохождения им военной службы по призыву. Он обратился с вопросом в ПФР: на какую пенсию он может рассчитывать?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  <w:u w:val="single"/>
        </w:rPr>
        <w:t>Ответ: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Согласно подп. 1 п. 2 ст. 15 Федерального закона от 15.12.2001 г. № 166-ФЗ «О государственном пенсионном обеспечении в Российской Федерации» он имеет право на государственную пенсию по инвалидности в размере 250 % социальной пенсии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  <w:u w:val="single"/>
        </w:rPr>
        <w:t>Расчет:</w:t>
      </w: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5180 руб. 24 коп. * 250% / 100% = 12950 руб. 60 коп. – размер государственной пенсии по инвалидности Сергеева.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2) Гражданин Сидоров стал инвалидом второй группы вследствие катастрофы на Чернобыльской АЭС. Он обратился с вопросом в ПФР: на какую пенсию он может рассчитывать?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  <w:u w:val="single"/>
        </w:rPr>
        <w:t>Ответ: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Согласно п. 2 ст. 17 Федерального закона от 15.12.2001 г. № 166-ФЗ «О государственном пенсионном обеспечении в Российской Федерации» он имеет право на государственную пенсию по инвалидности в размере 250 % социальной пенсии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  <w:u w:val="single"/>
        </w:rPr>
        <w:t>Расчет:</w:t>
      </w: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5180 руб. 24 коп. * 250% / 100% = 12950 руб. 60 коп. – размер государственной пенсии по инвалидности Сидорова.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 xml:space="preserve">Если Сидорову будет установлена первая группа инвалидности вследствие усугубления заболевания, то размер государственной пенсии по инвалидности по </w:t>
      </w:r>
      <w:r w:rsidRPr="008404A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группе будет рассчитываться по п. 2 ст. 17 Федерального закона от 15.12.2001 г. № 166-ФЗ «О государственном пенсионном обеспечении в Российской Федерации» </w:t>
      </w:r>
      <w:r w:rsidR="000958EB" w:rsidRPr="008404A1">
        <w:rPr>
          <w:rFonts w:ascii="Times New Roman" w:hAnsi="Times New Roman" w:cs="Times New Roman"/>
          <w:bCs/>
          <w:sz w:val="28"/>
          <w:szCs w:val="28"/>
        </w:rPr>
        <w:t>–</w:t>
      </w: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250 % социальной пенсии в размере 10360 руб. 52 коп.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  <w:u w:val="single"/>
        </w:rPr>
        <w:t>Расчет:</w:t>
      </w: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10360 руб. 52 коп. * 250% / 100% = 25901 руб. 30 коп. – размер государственной пенсии по инвалидности Сидорова.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Если Сидорову будет установлена третья группа инвалидности вследствие улучшения самочувствия, то размер государственной пенсии по инвалидности по </w:t>
      </w:r>
      <w:r w:rsidRPr="008404A1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группе будет рассчитываться по п. 2 ст. 17 Федерального закона от 15.12.2001 г. № 166-ФЗ «О государственном пенсионном обеспечении в Российской Федерации» как разница между 250 % социальной пенсии и 125% этого размера.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  <w:u w:val="single"/>
        </w:rPr>
        <w:t>Расчет:</w:t>
      </w: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5180 руб. 24 коп. * 250% / 100% - 5180 руб. 24 коп * 125 % / 100 % = 12950 руб. 60 коп. – 6475 руб. 30 коп. = 6475 руб. 30 коп. – размер государственной пенсии по инвалидности Сидорова.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  <w:u w:val="single"/>
        </w:rPr>
        <w:t>При наличии супруги на иждивении: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  <w:u w:val="single"/>
        </w:rPr>
        <w:t>Расчет:</w:t>
      </w: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 xml:space="preserve">5180 руб. 24 коп. + </w:t>
      </w:r>
      <w:r w:rsidRPr="008404A1">
        <w:rPr>
          <w:rFonts w:ascii="Times New Roman" w:hAnsi="Times New Roman" w:cs="Times New Roman"/>
          <w:bCs/>
          <w:sz w:val="28"/>
          <w:szCs w:val="28"/>
          <w:u w:val="single"/>
        </w:rPr>
        <w:t>1726 руб. 75 коп</w:t>
      </w:r>
      <w:r w:rsidRPr="008404A1">
        <w:rPr>
          <w:rFonts w:ascii="Times New Roman" w:hAnsi="Times New Roman" w:cs="Times New Roman"/>
          <w:bCs/>
          <w:sz w:val="28"/>
          <w:szCs w:val="28"/>
        </w:rPr>
        <w:t>. * 250% / 100% - 5180 руб. 24 коп * 125 % / 100 % = 17267 руб. 48 коп. – 6475 руб. 30 коп. = 10792 руб. 18 коп.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3) Гражданин Леонидов награжден знаком «Жителю блокадного Ленинграда». Ему была установлена третья группа инвалидности. Он обратился с вопросом в ПФР: на какую пенсию он может рассчитывать?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  <w:u w:val="single"/>
        </w:rPr>
        <w:t>Ответ: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Согласно п. 1.1 ст. 16 Федерального закона от 15.12.2001 г. № 166-ФЗ «О государственном пенсионном обеспечении в Российской Федерации» он имеет право на государственную пенсию по инвалидности в размере 100 % социальной пенсии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  <w:u w:val="single"/>
        </w:rPr>
        <w:t>Расчет:</w:t>
      </w: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5180 руб. 245 коп. * 100% / 100% = 5180 руб. 24 коп. – размер государственной пенсии по инвалидности Леонидова.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>В случае изменения группы инвалидности Леонидову размер государственной пенсии по инвалидности будет рассчитываться: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8404A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404A1">
        <w:rPr>
          <w:rFonts w:ascii="Times New Roman" w:hAnsi="Times New Roman" w:cs="Times New Roman"/>
          <w:bCs/>
          <w:sz w:val="28"/>
          <w:szCs w:val="28"/>
        </w:rPr>
        <w:t xml:space="preserve">группе  </w:t>
      </w:r>
      <w:r w:rsidRPr="008404A1">
        <w:rPr>
          <w:rFonts w:ascii="Times New Roman" w:hAnsi="Times New Roman" w:cs="Times New Roman"/>
          <w:bCs/>
          <w:sz w:val="28"/>
          <w:szCs w:val="28"/>
          <w:u w:val="single"/>
        </w:rPr>
        <w:t>150</w:t>
      </w:r>
      <w:proofErr w:type="gramEnd"/>
      <w:r w:rsidRPr="008404A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% социальной пенсии: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  <w:u w:val="single"/>
        </w:rPr>
        <w:t>Расчет:</w:t>
      </w: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5180 руб. 24 коп. * 150% / 100% = 7770 руб. 36 коп. – размер государственной пенсии по инвалидности Леонидова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8404A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404A1">
        <w:rPr>
          <w:rFonts w:ascii="Times New Roman" w:hAnsi="Times New Roman" w:cs="Times New Roman"/>
          <w:bCs/>
          <w:sz w:val="28"/>
          <w:szCs w:val="28"/>
        </w:rPr>
        <w:t xml:space="preserve">группе  </w:t>
      </w:r>
      <w:r w:rsidRPr="008404A1">
        <w:rPr>
          <w:rFonts w:ascii="Times New Roman" w:hAnsi="Times New Roman" w:cs="Times New Roman"/>
          <w:bCs/>
          <w:sz w:val="28"/>
          <w:szCs w:val="28"/>
          <w:u w:val="single"/>
        </w:rPr>
        <w:t>200</w:t>
      </w:r>
      <w:proofErr w:type="gramEnd"/>
      <w:r w:rsidRPr="008404A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% социальной пенсии: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  <w:u w:val="single"/>
        </w:rPr>
        <w:t>Расчет:</w:t>
      </w: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5180 руб. 24 коп. * 200% / 100% = 10360 руб. 48 коп. – размер государственной пенсии по инвалидности Леонидова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При наличии супруги на иждивении и </w:t>
      </w:r>
      <w:r w:rsidRPr="008404A1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III</w:t>
      </w:r>
      <w:r w:rsidRPr="008404A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группы инвалидности: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Fonts w:ascii="Times New Roman" w:hAnsi="Times New Roman" w:cs="Times New Roman"/>
          <w:bCs/>
          <w:sz w:val="28"/>
          <w:szCs w:val="28"/>
          <w:u w:val="single"/>
        </w:rPr>
        <w:t>Расчет:</w:t>
      </w: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5180 руб. 24 коп. + </w:t>
      </w:r>
      <w:r w:rsidRPr="008404A1">
        <w:rPr>
          <w:rFonts w:ascii="Times New Roman" w:hAnsi="Times New Roman" w:cs="Times New Roman"/>
          <w:bCs/>
          <w:sz w:val="28"/>
          <w:szCs w:val="28"/>
          <w:u w:val="single"/>
        </w:rPr>
        <w:t xml:space="preserve">1726 руб. 75 </w:t>
      </w:r>
      <w:proofErr w:type="gramStart"/>
      <w:r w:rsidRPr="008404A1">
        <w:rPr>
          <w:rFonts w:ascii="Times New Roman" w:hAnsi="Times New Roman" w:cs="Times New Roman"/>
          <w:bCs/>
          <w:sz w:val="28"/>
          <w:szCs w:val="28"/>
          <w:u w:val="single"/>
        </w:rPr>
        <w:t>коп</w:t>
      </w:r>
      <w:r w:rsidRPr="008404A1">
        <w:rPr>
          <w:rFonts w:ascii="Times New Roman" w:hAnsi="Times New Roman" w:cs="Times New Roman"/>
          <w:bCs/>
          <w:sz w:val="28"/>
          <w:szCs w:val="28"/>
        </w:rPr>
        <w:t>.*</w:t>
      </w:r>
      <w:proofErr w:type="gramEnd"/>
      <w:r w:rsidRPr="008404A1">
        <w:rPr>
          <w:rFonts w:ascii="Times New Roman" w:hAnsi="Times New Roman" w:cs="Times New Roman"/>
          <w:bCs/>
          <w:sz w:val="28"/>
          <w:szCs w:val="28"/>
        </w:rPr>
        <w:t xml:space="preserve"> 100% / 100% = 6906 руб. 66 коп.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8AF">
        <w:rPr>
          <w:rFonts w:ascii="Times New Roman" w:hAnsi="Times New Roman" w:cs="Times New Roman"/>
          <w:bCs/>
          <w:sz w:val="28"/>
          <w:szCs w:val="28"/>
          <w:u w:val="single"/>
        </w:rPr>
        <w:t>6-й этап.</w:t>
      </w: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Оформление проекта в виде презентации.</w:t>
      </w:r>
    </w:p>
    <w:p w:rsidR="008404A1" w:rsidRPr="008404A1" w:rsidRDefault="002578AF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Следует отметить, что о</w:t>
      </w:r>
      <w:r w:rsidR="008404A1" w:rsidRPr="008404A1">
        <w:rPr>
          <w:rFonts w:ascii="Times New Roman" w:hAnsi="Times New Roman" w:cs="Times New Roman"/>
          <w:bCs/>
          <w:sz w:val="28"/>
          <w:szCs w:val="28"/>
        </w:rPr>
        <w:t xml:space="preserve">формление проекта играет важную роль в восприятии его содержания и результатов. Для оформления можно использовать различные возможности, однако наиболее наглядно он может быть представлен в виде презентации, выполненной в программе </w:t>
      </w:r>
      <w:r w:rsidR="008404A1" w:rsidRPr="008404A1">
        <w:rPr>
          <w:rFonts w:ascii="Times New Roman" w:hAnsi="Times New Roman" w:cs="Times New Roman"/>
          <w:bCs/>
          <w:sz w:val="28"/>
          <w:szCs w:val="28"/>
          <w:lang w:val="en-US"/>
        </w:rPr>
        <w:t>Power</w:t>
      </w:r>
      <w:r w:rsidR="008404A1" w:rsidRPr="008404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4A1" w:rsidRPr="008404A1">
        <w:rPr>
          <w:rFonts w:ascii="Times New Roman" w:hAnsi="Times New Roman" w:cs="Times New Roman"/>
          <w:bCs/>
          <w:sz w:val="28"/>
          <w:szCs w:val="28"/>
          <w:lang w:val="en-US"/>
        </w:rPr>
        <w:t>Point</w:t>
      </w:r>
      <w:r w:rsidR="008404A1" w:rsidRPr="008404A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404A1" w:rsidRPr="008404A1" w:rsidRDefault="008404A1" w:rsidP="00D90C63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578AF">
        <w:rPr>
          <w:rFonts w:ascii="Times New Roman" w:hAnsi="Times New Roman" w:cs="Times New Roman"/>
          <w:bCs/>
          <w:sz w:val="28"/>
          <w:szCs w:val="28"/>
          <w:u w:val="single"/>
        </w:rPr>
        <w:t>7-й этап.</w:t>
      </w: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Защита проекта.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A1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Представление проделанной работы осуществляется на этапе защиты проектов. </w:t>
      </w:r>
      <w:r w:rsidRPr="008404A1">
        <w:rPr>
          <w:rFonts w:ascii="Times New Roman" w:hAnsi="Times New Roman" w:cs="Times New Roman"/>
          <w:bCs/>
          <w:sz w:val="28"/>
          <w:szCs w:val="28"/>
        </w:rPr>
        <w:t xml:space="preserve">Защита разработанного проекта осуществлялась на </w:t>
      </w:r>
      <w:proofErr w:type="spellStart"/>
      <w:r w:rsidRPr="008404A1">
        <w:rPr>
          <w:rFonts w:ascii="Times New Roman" w:hAnsi="Times New Roman" w:cs="Times New Roman"/>
          <w:bCs/>
          <w:sz w:val="28"/>
          <w:szCs w:val="28"/>
        </w:rPr>
        <w:lastRenderedPageBreak/>
        <w:t>внутриколледжной</w:t>
      </w:r>
      <w:proofErr w:type="spellEnd"/>
      <w:r w:rsidRPr="008404A1">
        <w:rPr>
          <w:rFonts w:ascii="Times New Roman" w:hAnsi="Times New Roman" w:cs="Times New Roman"/>
          <w:bCs/>
          <w:sz w:val="28"/>
          <w:szCs w:val="28"/>
        </w:rPr>
        <w:t xml:space="preserve"> научно-практической конференции «Шаг в будущее», где проект был отмечен как самый </w:t>
      </w:r>
      <w:proofErr w:type="spellStart"/>
      <w:r w:rsidRPr="008404A1">
        <w:rPr>
          <w:rFonts w:ascii="Times New Roman" w:hAnsi="Times New Roman" w:cs="Times New Roman"/>
          <w:bCs/>
          <w:sz w:val="28"/>
          <w:szCs w:val="28"/>
        </w:rPr>
        <w:t>практикоориентированный</w:t>
      </w:r>
      <w:proofErr w:type="spellEnd"/>
      <w:r w:rsidRPr="008404A1">
        <w:rPr>
          <w:rFonts w:ascii="Times New Roman" w:hAnsi="Times New Roman" w:cs="Times New Roman"/>
          <w:bCs/>
          <w:sz w:val="28"/>
          <w:szCs w:val="28"/>
        </w:rPr>
        <w:t>. На защиту был представлен краткий вариант презентации проекта с целью соблюдения регламента.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8AF">
        <w:rPr>
          <w:rFonts w:ascii="Times New Roman" w:hAnsi="Times New Roman" w:cs="Times New Roman"/>
          <w:bCs/>
          <w:sz w:val="28"/>
          <w:szCs w:val="28"/>
          <w:u w:val="single"/>
        </w:rPr>
        <w:t>8-й этап.</w:t>
      </w:r>
      <w:r w:rsidRPr="008404A1">
        <w:rPr>
          <w:rFonts w:ascii="Times New Roman" w:hAnsi="Times New Roman" w:cs="Times New Roman"/>
          <w:bCs/>
          <w:sz w:val="28"/>
          <w:szCs w:val="28"/>
        </w:rPr>
        <w:t xml:space="preserve"> Оценка выполнения проекта.</w:t>
      </w:r>
    </w:p>
    <w:p w:rsidR="008404A1" w:rsidRPr="008404A1" w:rsidRDefault="008404A1" w:rsidP="00D90C63">
      <w:pPr>
        <w:pStyle w:val="a7"/>
        <w:spacing w:before="0" w:beforeAutospacing="0" w:after="0" w:afterAutospacing="0"/>
        <w:ind w:firstLine="708"/>
        <w:jc w:val="both"/>
        <w:rPr>
          <w:rStyle w:val="aa"/>
          <w:i w:val="0"/>
          <w:color w:val="000000"/>
          <w:sz w:val="28"/>
          <w:szCs w:val="28"/>
        </w:rPr>
      </w:pPr>
      <w:r w:rsidRPr="008404A1">
        <w:rPr>
          <w:rStyle w:val="aa"/>
          <w:i w:val="0"/>
          <w:color w:val="000000"/>
          <w:sz w:val="28"/>
          <w:szCs w:val="28"/>
        </w:rPr>
        <w:t xml:space="preserve">Завершающим этапом проектной деятельности явилось коллективное обсуждение результатов работы над проектом, формулировка выводов о проделанной работе. </w:t>
      </w:r>
    </w:p>
    <w:p w:rsidR="008404A1" w:rsidRPr="008404A1" w:rsidRDefault="008404A1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1">
        <w:rPr>
          <w:rFonts w:ascii="Times New Roman" w:hAnsi="Times New Roman" w:cs="Times New Roman"/>
          <w:sz w:val="28"/>
          <w:szCs w:val="28"/>
        </w:rPr>
        <w:t xml:space="preserve">В результате организации работы над проектом на тему «Применение процентов при расчетах в профессии юриста в сфере социального обеспечения» и реализации целей и задач данного проекта </w:t>
      </w:r>
      <w:r w:rsidR="002578AF">
        <w:rPr>
          <w:rFonts w:ascii="Times New Roman" w:hAnsi="Times New Roman" w:cs="Times New Roman"/>
          <w:sz w:val="28"/>
          <w:szCs w:val="28"/>
        </w:rPr>
        <w:t>был сделан вывод о том</w:t>
      </w:r>
      <w:r w:rsidRPr="008404A1">
        <w:rPr>
          <w:rFonts w:ascii="Times New Roman" w:hAnsi="Times New Roman" w:cs="Times New Roman"/>
          <w:sz w:val="28"/>
          <w:szCs w:val="28"/>
        </w:rPr>
        <w:t>, что проектирование является необходимым звеном процесса обучения. Особенно оно эффективно, когда происходит интеграция учебных дисциплин в рамках одного проекта. В данном аспекте были объединены такие важные учебные дисциплины, как математика и право социального обеспечения. Обучающиеся смогли на практике убедиться в том, что все предметы между собой так или иначе связаны и что одна область гармонично дополняет другую, позволяя формировать у обучающихся необходимые профессиональные компетенции и цельную модель специалиста.</w:t>
      </w:r>
    </w:p>
    <w:p w:rsidR="0089393A" w:rsidRDefault="0089393A" w:rsidP="00D40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A64CF" w:rsidRPr="005D1FA8" w:rsidRDefault="00DA64CF" w:rsidP="00DA64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FA8">
        <w:rPr>
          <w:rFonts w:ascii="Times New Roman" w:hAnsi="Times New Roman" w:cs="Times New Roman"/>
          <w:b/>
          <w:sz w:val="28"/>
          <w:szCs w:val="28"/>
        </w:rPr>
        <w:t>Литература и Интернет-ресурсы</w:t>
      </w:r>
    </w:p>
    <w:p w:rsidR="00DA64CF" w:rsidRDefault="00DA64CF" w:rsidP="00DA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780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 </w:t>
      </w:r>
      <w:proofErr w:type="spellStart"/>
      <w:r w:rsidRPr="00780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</w:t>
      </w:r>
      <w:proofErr w:type="spellEnd"/>
      <w:r w:rsidRPr="00780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 от 12.05.2014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</w:t>
      </w:r>
      <w:r w:rsidRPr="00780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508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80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(ред. от 14.09.2016)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Pr="00780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утверждении федерального государственного образовательного стандарта среднего профессионального образования по специальности 40.02.01 Право и орга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низация социального обеспечения» [Электронный ресурс] – Режим доступа: </w:t>
      </w:r>
      <w:r w:rsidRPr="00895C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http://www.consultant.ru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F61CC" w:rsidRPr="00AD5D43" w:rsidRDefault="00CF61CC" w:rsidP="00CF6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Гриненко С.А.,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Крель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Н.А., Трифонова М.М. Особенности организации проектной деятельности в СПО // Профессиональное образование. Столица. – 2019. – № 2. – С. 47-50.</w:t>
      </w:r>
    </w:p>
    <w:p w:rsidR="0047287A" w:rsidRDefault="00CF61CC" w:rsidP="0047287A">
      <w:pPr>
        <w:pStyle w:val="Style40"/>
        <w:widowControl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47287A" w:rsidRPr="00AD5D43">
        <w:rPr>
          <w:bCs/>
          <w:sz w:val="28"/>
          <w:szCs w:val="28"/>
        </w:rPr>
        <w:t>.</w:t>
      </w:r>
      <w:r w:rsidR="0047287A" w:rsidRPr="00AD5D43">
        <w:rPr>
          <w:sz w:val="28"/>
          <w:szCs w:val="28"/>
        </w:rPr>
        <w:t xml:space="preserve"> </w:t>
      </w:r>
      <w:proofErr w:type="spellStart"/>
      <w:r w:rsidR="0047287A" w:rsidRPr="00AD5D43">
        <w:rPr>
          <w:sz w:val="28"/>
          <w:szCs w:val="28"/>
        </w:rPr>
        <w:t>Дадаян</w:t>
      </w:r>
      <w:proofErr w:type="spellEnd"/>
      <w:r w:rsidR="0047287A" w:rsidRPr="00AD5D43">
        <w:rPr>
          <w:sz w:val="28"/>
          <w:szCs w:val="28"/>
        </w:rPr>
        <w:t xml:space="preserve"> А.А. Математика: учебник / А.А. </w:t>
      </w:r>
      <w:proofErr w:type="spellStart"/>
      <w:r w:rsidR="0047287A" w:rsidRPr="00AD5D43">
        <w:rPr>
          <w:sz w:val="28"/>
          <w:szCs w:val="28"/>
        </w:rPr>
        <w:t>Дадаян</w:t>
      </w:r>
      <w:proofErr w:type="spellEnd"/>
      <w:r w:rsidR="0047287A" w:rsidRPr="00AD5D43">
        <w:rPr>
          <w:sz w:val="28"/>
          <w:szCs w:val="28"/>
        </w:rPr>
        <w:t>. – М.: Форум – ИНФРА-М, 2011. – 544 с.</w:t>
      </w:r>
    </w:p>
    <w:p w:rsidR="00611A5F" w:rsidRDefault="00CF61CC" w:rsidP="00611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611A5F" w:rsidRPr="00611A5F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Миронова Т.К. </w:t>
      </w:r>
      <w:r w:rsidR="00611A5F" w:rsidRPr="00611A5F">
        <w:rPr>
          <w:rFonts w:ascii="Times New Roman" w:eastAsia="Times New Roman" w:hAnsi="Times New Roman" w:cs="Times New Roman"/>
          <w:sz w:val="28"/>
          <w:szCs w:val="28"/>
        </w:rPr>
        <w:t xml:space="preserve">Право социального обеспечения: учебное пособие / Т.К. Миронов. – 2-е изд., </w:t>
      </w:r>
      <w:proofErr w:type="spellStart"/>
      <w:r w:rsidR="00611A5F" w:rsidRPr="00611A5F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611A5F" w:rsidRPr="00611A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11A5F" w:rsidRPr="00611A5F">
        <w:rPr>
          <w:rFonts w:ascii="Times New Roman" w:eastAsia="Times New Roman" w:hAnsi="Times New Roman" w:cs="Times New Roman"/>
          <w:sz w:val="28"/>
          <w:szCs w:val="28"/>
        </w:rPr>
        <w:t xml:space="preserve"> и доп. – М.: КНОРУС, 2018. – 304 с.</w:t>
      </w:r>
    </w:p>
    <w:p w:rsidR="00611A5F" w:rsidRPr="00835008" w:rsidRDefault="00CF61CC" w:rsidP="0008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0854DB" w:rsidRPr="00835008">
        <w:rPr>
          <w:rFonts w:ascii="Times New Roman" w:eastAsia="Times New Roman" w:hAnsi="Times New Roman" w:cs="Times New Roman"/>
          <w:sz w:val="28"/>
          <w:szCs w:val="28"/>
        </w:rPr>
        <w:t xml:space="preserve">Фролова Н.Ю. </w:t>
      </w:r>
      <w:r w:rsidR="000854DB" w:rsidRPr="00835008">
        <w:rPr>
          <w:rFonts w:ascii="Times New Roman" w:hAnsi="Times New Roman" w:cs="Times New Roman"/>
          <w:sz w:val="28"/>
          <w:szCs w:val="28"/>
        </w:rPr>
        <w:t>Организация проектной деятельности обучающихся</w:t>
      </w:r>
      <w:r w:rsidR="00835008" w:rsidRPr="00835008">
        <w:rPr>
          <w:rFonts w:ascii="Times New Roman" w:hAnsi="Times New Roman" w:cs="Times New Roman"/>
          <w:sz w:val="28"/>
          <w:szCs w:val="28"/>
        </w:rPr>
        <w:t xml:space="preserve"> –</w:t>
      </w:r>
      <w:r w:rsidR="000854DB" w:rsidRPr="00835008">
        <w:rPr>
          <w:rFonts w:ascii="Times New Roman" w:hAnsi="Times New Roman" w:cs="Times New Roman"/>
          <w:sz w:val="28"/>
          <w:szCs w:val="28"/>
        </w:rPr>
        <w:t xml:space="preserve"> как одно из условий </w:t>
      </w:r>
      <w:proofErr w:type="spellStart"/>
      <w:r w:rsidR="000854DB" w:rsidRPr="00835008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0854DB" w:rsidRPr="00835008">
        <w:rPr>
          <w:rFonts w:ascii="Times New Roman" w:hAnsi="Times New Roman" w:cs="Times New Roman"/>
          <w:sz w:val="28"/>
          <w:szCs w:val="28"/>
        </w:rPr>
        <w:t xml:space="preserve"> подхода в обучении </w:t>
      </w:r>
      <w:r w:rsidR="000854DB" w:rsidRPr="0083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 ресурс] – Режим доступа:</w:t>
      </w:r>
      <w:r w:rsidR="000854DB" w:rsidRPr="0083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008" w:rsidRPr="00835008">
        <w:rPr>
          <w:rFonts w:ascii="Times New Roman" w:hAnsi="Times New Roman" w:cs="Times New Roman"/>
          <w:color w:val="000000"/>
          <w:sz w:val="28"/>
          <w:szCs w:val="28"/>
        </w:rPr>
        <w:t>https://nsportal.ru/npo-spo/obrazovanie-i-pedagogika/library/2016/12/27/organizatsiya-proektnoy-deyatelnosti.</w:t>
      </w:r>
    </w:p>
    <w:p w:rsidR="0047287A" w:rsidRPr="00AD5D43" w:rsidRDefault="00CF61CC" w:rsidP="004728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47287A" w:rsidRPr="000854DB">
        <w:rPr>
          <w:rFonts w:ascii="Times New Roman" w:hAnsi="Times New Roman" w:cs="Times New Roman"/>
          <w:bCs/>
          <w:sz w:val="28"/>
          <w:szCs w:val="28"/>
        </w:rPr>
        <w:t xml:space="preserve">. Справочная правовая система «Консультант Плюс» </w:t>
      </w:r>
      <w:r w:rsidR="0047287A" w:rsidRPr="000854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[Электронный</w:t>
      </w:r>
      <w:r w:rsidR="004728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ресурс] – Режим доступа: </w:t>
      </w:r>
      <w:r w:rsidR="0047287A" w:rsidRPr="00AD5D43">
        <w:rPr>
          <w:rFonts w:ascii="Times New Roman" w:hAnsi="Times New Roman" w:cs="Times New Roman"/>
          <w:bCs/>
          <w:sz w:val="28"/>
          <w:szCs w:val="28"/>
        </w:rPr>
        <w:t>http://www.consultant.ru.</w:t>
      </w:r>
    </w:p>
    <w:p w:rsidR="0047287A" w:rsidRDefault="00CF61CC" w:rsidP="004728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47287A" w:rsidRPr="00AD5D43">
        <w:rPr>
          <w:rFonts w:ascii="Times New Roman" w:hAnsi="Times New Roman" w:cs="Times New Roman"/>
          <w:bCs/>
          <w:sz w:val="28"/>
          <w:szCs w:val="28"/>
        </w:rPr>
        <w:t xml:space="preserve">. Справочная правовая система «Гарант» </w:t>
      </w:r>
      <w:r w:rsidR="004728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[Электронный ресурс] – Режим доступа: </w:t>
      </w:r>
      <w:r w:rsidRPr="00CF61CC">
        <w:rPr>
          <w:rFonts w:ascii="Times New Roman" w:hAnsi="Times New Roman" w:cs="Times New Roman"/>
          <w:bCs/>
          <w:sz w:val="28"/>
          <w:szCs w:val="28"/>
        </w:rPr>
        <w:t>http://www.garant.ru</w:t>
      </w:r>
      <w:r w:rsidR="0047287A" w:rsidRPr="00AD5D43">
        <w:rPr>
          <w:rFonts w:ascii="Times New Roman" w:hAnsi="Times New Roman" w:cs="Times New Roman"/>
          <w:bCs/>
          <w:sz w:val="28"/>
          <w:szCs w:val="28"/>
        </w:rPr>
        <w:t>.</w:t>
      </w:r>
    </w:p>
    <w:p w:rsidR="0089393A" w:rsidRPr="00D40368" w:rsidRDefault="0089393A" w:rsidP="008939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47287A" w:rsidRPr="00D40368" w:rsidRDefault="0047287A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47287A" w:rsidRPr="00D40368" w:rsidSect="00CD21D9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0E" w:rsidRDefault="00EF460E" w:rsidP="00885D15">
      <w:pPr>
        <w:spacing w:after="0" w:line="240" w:lineRule="auto"/>
      </w:pPr>
      <w:r>
        <w:separator/>
      </w:r>
    </w:p>
  </w:endnote>
  <w:endnote w:type="continuationSeparator" w:id="0">
    <w:p w:rsidR="00EF460E" w:rsidRDefault="00EF460E" w:rsidP="0088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373208"/>
      <w:docPartObj>
        <w:docPartGallery w:val="Page Numbers (Bottom of Page)"/>
        <w:docPartUnique/>
      </w:docPartObj>
    </w:sdtPr>
    <w:sdtEndPr/>
    <w:sdtContent>
      <w:p w:rsidR="00885D15" w:rsidRDefault="00885D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1CC">
          <w:rPr>
            <w:noProof/>
          </w:rPr>
          <w:t>8</w:t>
        </w:r>
        <w:r>
          <w:fldChar w:fldCharType="end"/>
        </w:r>
      </w:p>
    </w:sdtContent>
  </w:sdt>
  <w:p w:rsidR="00885D15" w:rsidRDefault="00885D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0E" w:rsidRDefault="00EF460E" w:rsidP="00885D15">
      <w:pPr>
        <w:spacing w:after="0" w:line="240" w:lineRule="auto"/>
      </w:pPr>
      <w:r>
        <w:separator/>
      </w:r>
    </w:p>
  </w:footnote>
  <w:footnote w:type="continuationSeparator" w:id="0">
    <w:p w:rsidR="00EF460E" w:rsidRDefault="00EF460E" w:rsidP="00885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295"/>
    <w:multiLevelType w:val="hybridMultilevel"/>
    <w:tmpl w:val="28406F34"/>
    <w:lvl w:ilvl="0" w:tplc="700CD7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2D35"/>
    <w:multiLevelType w:val="hybridMultilevel"/>
    <w:tmpl w:val="8ED4D2E4"/>
    <w:lvl w:ilvl="0" w:tplc="700CD7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4A27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1483C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4140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54D94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82F6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42937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BE52A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C8E1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D6130"/>
    <w:multiLevelType w:val="hybridMultilevel"/>
    <w:tmpl w:val="6974EA6C"/>
    <w:lvl w:ilvl="0" w:tplc="E828F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801C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062C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224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D030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344A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EE28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207F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ED2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0EF426C"/>
    <w:multiLevelType w:val="hybridMultilevel"/>
    <w:tmpl w:val="E56E6728"/>
    <w:lvl w:ilvl="0" w:tplc="700CD7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EAB92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8C1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4209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6CC01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CA7F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6C64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2ADA8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E435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B11C3"/>
    <w:multiLevelType w:val="hybridMultilevel"/>
    <w:tmpl w:val="1D78D996"/>
    <w:lvl w:ilvl="0" w:tplc="EE583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94DF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7C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1ADB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26A4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7A87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5A59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72A6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3C8F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50D646F"/>
    <w:multiLevelType w:val="hybridMultilevel"/>
    <w:tmpl w:val="57C6E3DA"/>
    <w:lvl w:ilvl="0" w:tplc="700CD7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F5"/>
    <w:rsid w:val="00020CA9"/>
    <w:rsid w:val="00030392"/>
    <w:rsid w:val="00030950"/>
    <w:rsid w:val="00036322"/>
    <w:rsid w:val="00065951"/>
    <w:rsid w:val="0008306A"/>
    <w:rsid w:val="000854DB"/>
    <w:rsid w:val="0009086B"/>
    <w:rsid w:val="000958EB"/>
    <w:rsid w:val="00096A0D"/>
    <w:rsid w:val="000A35AD"/>
    <w:rsid w:val="000F2A5D"/>
    <w:rsid w:val="00101B15"/>
    <w:rsid w:val="00103DAE"/>
    <w:rsid w:val="001256F2"/>
    <w:rsid w:val="0012755F"/>
    <w:rsid w:val="001464D8"/>
    <w:rsid w:val="001651AE"/>
    <w:rsid w:val="00192056"/>
    <w:rsid w:val="00195F48"/>
    <w:rsid w:val="001A6813"/>
    <w:rsid w:val="001A777D"/>
    <w:rsid w:val="001A77F9"/>
    <w:rsid w:val="001B6C61"/>
    <w:rsid w:val="001C1009"/>
    <w:rsid w:val="001F5D85"/>
    <w:rsid w:val="001F685E"/>
    <w:rsid w:val="0020199E"/>
    <w:rsid w:val="002268CC"/>
    <w:rsid w:val="00227A2B"/>
    <w:rsid w:val="00241391"/>
    <w:rsid w:val="002475E9"/>
    <w:rsid w:val="002578AF"/>
    <w:rsid w:val="002601FC"/>
    <w:rsid w:val="00262492"/>
    <w:rsid w:val="00280F10"/>
    <w:rsid w:val="00282853"/>
    <w:rsid w:val="0028731E"/>
    <w:rsid w:val="00293856"/>
    <w:rsid w:val="002C2825"/>
    <w:rsid w:val="002D1132"/>
    <w:rsid w:val="002E39DC"/>
    <w:rsid w:val="002E6F36"/>
    <w:rsid w:val="002F09CD"/>
    <w:rsid w:val="002F1DE1"/>
    <w:rsid w:val="002F2245"/>
    <w:rsid w:val="00303865"/>
    <w:rsid w:val="00310BF2"/>
    <w:rsid w:val="00340045"/>
    <w:rsid w:val="00372F42"/>
    <w:rsid w:val="003826A5"/>
    <w:rsid w:val="00397E77"/>
    <w:rsid w:val="003A52EE"/>
    <w:rsid w:val="003A6D3E"/>
    <w:rsid w:val="003B35EA"/>
    <w:rsid w:val="00416885"/>
    <w:rsid w:val="00426D7A"/>
    <w:rsid w:val="00430920"/>
    <w:rsid w:val="00443B2B"/>
    <w:rsid w:val="00446C20"/>
    <w:rsid w:val="00467B5F"/>
    <w:rsid w:val="00471143"/>
    <w:rsid w:val="0047287A"/>
    <w:rsid w:val="00492AB0"/>
    <w:rsid w:val="004A641B"/>
    <w:rsid w:val="004E3D01"/>
    <w:rsid w:val="00502A5E"/>
    <w:rsid w:val="00516FA0"/>
    <w:rsid w:val="00517A72"/>
    <w:rsid w:val="00520832"/>
    <w:rsid w:val="00521362"/>
    <w:rsid w:val="00531D82"/>
    <w:rsid w:val="00532764"/>
    <w:rsid w:val="00546C98"/>
    <w:rsid w:val="005551DD"/>
    <w:rsid w:val="00556143"/>
    <w:rsid w:val="005C36DB"/>
    <w:rsid w:val="005D499A"/>
    <w:rsid w:val="00611A5F"/>
    <w:rsid w:val="00622D25"/>
    <w:rsid w:val="00626388"/>
    <w:rsid w:val="0063288C"/>
    <w:rsid w:val="0063743F"/>
    <w:rsid w:val="006524F0"/>
    <w:rsid w:val="0066765A"/>
    <w:rsid w:val="006764A0"/>
    <w:rsid w:val="00695147"/>
    <w:rsid w:val="00697A3C"/>
    <w:rsid w:val="006A1992"/>
    <w:rsid w:val="006B0360"/>
    <w:rsid w:val="006B342B"/>
    <w:rsid w:val="006B41F9"/>
    <w:rsid w:val="006D7165"/>
    <w:rsid w:val="006D7B32"/>
    <w:rsid w:val="006E2DC0"/>
    <w:rsid w:val="006E58C1"/>
    <w:rsid w:val="006F3464"/>
    <w:rsid w:val="00701C18"/>
    <w:rsid w:val="00701F4E"/>
    <w:rsid w:val="00702B50"/>
    <w:rsid w:val="007269ED"/>
    <w:rsid w:val="0074417C"/>
    <w:rsid w:val="007447AC"/>
    <w:rsid w:val="007461DA"/>
    <w:rsid w:val="00780DBB"/>
    <w:rsid w:val="007A193D"/>
    <w:rsid w:val="007D2AEA"/>
    <w:rsid w:val="008103F5"/>
    <w:rsid w:val="00810597"/>
    <w:rsid w:val="00835008"/>
    <w:rsid w:val="008376CD"/>
    <w:rsid w:val="00837E3B"/>
    <w:rsid w:val="008404A1"/>
    <w:rsid w:val="00840F4A"/>
    <w:rsid w:val="00841563"/>
    <w:rsid w:val="008448C5"/>
    <w:rsid w:val="0084644B"/>
    <w:rsid w:val="00860E2C"/>
    <w:rsid w:val="00861CAC"/>
    <w:rsid w:val="00885D15"/>
    <w:rsid w:val="00893433"/>
    <w:rsid w:val="0089393A"/>
    <w:rsid w:val="008C745B"/>
    <w:rsid w:val="008D5BAB"/>
    <w:rsid w:val="008D674C"/>
    <w:rsid w:val="008E2727"/>
    <w:rsid w:val="008E7570"/>
    <w:rsid w:val="008F7843"/>
    <w:rsid w:val="009012DE"/>
    <w:rsid w:val="00901CCE"/>
    <w:rsid w:val="00903B77"/>
    <w:rsid w:val="009278AD"/>
    <w:rsid w:val="00933F1D"/>
    <w:rsid w:val="00943B41"/>
    <w:rsid w:val="00946B08"/>
    <w:rsid w:val="00956B0B"/>
    <w:rsid w:val="00993796"/>
    <w:rsid w:val="009A779A"/>
    <w:rsid w:val="009B18D9"/>
    <w:rsid w:val="009D1AAD"/>
    <w:rsid w:val="009F2B65"/>
    <w:rsid w:val="00A23DF6"/>
    <w:rsid w:val="00A3351E"/>
    <w:rsid w:val="00A33B78"/>
    <w:rsid w:val="00A46843"/>
    <w:rsid w:val="00A80004"/>
    <w:rsid w:val="00AB1053"/>
    <w:rsid w:val="00AD40C2"/>
    <w:rsid w:val="00AD5D43"/>
    <w:rsid w:val="00AE05CB"/>
    <w:rsid w:val="00AE2F11"/>
    <w:rsid w:val="00AF759A"/>
    <w:rsid w:val="00B02B5A"/>
    <w:rsid w:val="00B50469"/>
    <w:rsid w:val="00B521BF"/>
    <w:rsid w:val="00B56F3B"/>
    <w:rsid w:val="00B603D5"/>
    <w:rsid w:val="00B7578B"/>
    <w:rsid w:val="00B82340"/>
    <w:rsid w:val="00B9254E"/>
    <w:rsid w:val="00B92B19"/>
    <w:rsid w:val="00B93249"/>
    <w:rsid w:val="00B97CD1"/>
    <w:rsid w:val="00BC1F5B"/>
    <w:rsid w:val="00BC6002"/>
    <w:rsid w:val="00BE0E2B"/>
    <w:rsid w:val="00BE1962"/>
    <w:rsid w:val="00BE5F8D"/>
    <w:rsid w:val="00C017F5"/>
    <w:rsid w:val="00C101A8"/>
    <w:rsid w:val="00C10911"/>
    <w:rsid w:val="00C139D0"/>
    <w:rsid w:val="00C14497"/>
    <w:rsid w:val="00C320D6"/>
    <w:rsid w:val="00C439A4"/>
    <w:rsid w:val="00C4597D"/>
    <w:rsid w:val="00C47D14"/>
    <w:rsid w:val="00C54F5C"/>
    <w:rsid w:val="00C57F5D"/>
    <w:rsid w:val="00C861FE"/>
    <w:rsid w:val="00CB25B0"/>
    <w:rsid w:val="00CB743A"/>
    <w:rsid w:val="00CC7FCE"/>
    <w:rsid w:val="00CD21D9"/>
    <w:rsid w:val="00CF592C"/>
    <w:rsid w:val="00CF61CC"/>
    <w:rsid w:val="00CF682B"/>
    <w:rsid w:val="00D0222B"/>
    <w:rsid w:val="00D131D5"/>
    <w:rsid w:val="00D171F0"/>
    <w:rsid w:val="00D40368"/>
    <w:rsid w:val="00D5140F"/>
    <w:rsid w:val="00D62465"/>
    <w:rsid w:val="00D7083E"/>
    <w:rsid w:val="00D72BBE"/>
    <w:rsid w:val="00D76CC7"/>
    <w:rsid w:val="00D844EF"/>
    <w:rsid w:val="00D90C63"/>
    <w:rsid w:val="00DA64CF"/>
    <w:rsid w:val="00DC521A"/>
    <w:rsid w:val="00DD7E53"/>
    <w:rsid w:val="00DE1FFA"/>
    <w:rsid w:val="00E13807"/>
    <w:rsid w:val="00E2042A"/>
    <w:rsid w:val="00E43A5D"/>
    <w:rsid w:val="00E51605"/>
    <w:rsid w:val="00E94DD2"/>
    <w:rsid w:val="00EE0878"/>
    <w:rsid w:val="00EE323A"/>
    <w:rsid w:val="00EF460E"/>
    <w:rsid w:val="00F03D0B"/>
    <w:rsid w:val="00F0759D"/>
    <w:rsid w:val="00F23D12"/>
    <w:rsid w:val="00F24576"/>
    <w:rsid w:val="00F36E22"/>
    <w:rsid w:val="00F40011"/>
    <w:rsid w:val="00F44F2F"/>
    <w:rsid w:val="00F60E2E"/>
    <w:rsid w:val="00F81E35"/>
    <w:rsid w:val="00FE5BEB"/>
    <w:rsid w:val="00FE638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E5F2"/>
  <w15:chartTrackingRefBased/>
  <w15:docId w15:val="{054F6176-8897-4680-91BA-4376F23B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D15"/>
  </w:style>
  <w:style w:type="paragraph" w:styleId="a5">
    <w:name w:val="footer"/>
    <w:basedOn w:val="a"/>
    <w:link w:val="a6"/>
    <w:uiPriority w:val="99"/>
    <w:unhideWhenUsed/>
    <w:rsid w:val="0088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D15"/>
  </w:style>
  <w:style w:type="paragraph" w:styleId="a7">
    <w:name w:val="Normal (Web)"/>
    <w:basedOn w:val="a"/>
    <w:uiPriority w:val="99"/>
    <w:unhideWhenUsed/>
    <w:rsid w:val="0034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56B0B"/>
    <w:pPr>
      <w:ind w:left="720"/>
      <w:contextualSpacing/>
    </w:pPr>
  </w:style>
  <w:style w:type="character" w:customStyle="1" w:styleId="apple-converted-space">
    <w:name w:val="apple-converted-space"/>
    <w:basedOn w:val="a0"/>
    <w:rsid w:val="00EE323A"/>
  </w:style>
  <w:style w:type="table" w:styleId="a9">
    <w:name w:val="Table Grid"/>
    <w:basedOn w:val="a1"/>
    <w:uiPriority w:val="39"/>
    <w:rsid w:val="0010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">
    <w:name w:val="data"/>
    <w:basedOn w:val="a0"/>
    <w:rsid w:val="00DA64CF"/>
  </w:style>
  <w:style w:type="character" w:styleId="aa">
    <w:name w:val="Emphasis"/>
    <w:uiPriority w:val="20"/>
    <w:qFormat/>
    <w:rsid w:val="008404A1"/>
    <w:rPr>
      <w:i/>
      <w:iCs/>
    </w:rPr>
  </w:style>
  <w:style w:type="paragraph" w:customStyle="1" w:styleId="Style40">
    <w:name w:val="Style40"/>
    <w:basedOn w:val="a"/>
    <w:rsid w:val="008D5B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35008"/>
    <w:rPr>
      <w:color w:val="1717D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8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213</cp:revision>
  <dcterms:created xsi:type="dcterms:W3CDTF">2018-01-28T12:31:00Z</dcterms:created>
  <dcterms:modified xsi:type="dcterms:W3CDTF">2019-04-12T03:30:00Z</dcterms:modified>
</cp:coreProperties>
</file>